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B2" w:rsidRDefault="008B4DB2">
      <w:pPr>
        <w:pStyle w:val="newncpi0"/>
        <w:jc w:val="center"/>
      </w:pPr>
      <w:bookmarkStart w:id="0" w:name="_GoBack"/>
      <w:bookmarkEnd w:id="0"/>
      <w:r>
        <w:rPr>
          <w:rStyle w:val="name"/>
        </w:rPr>
        <w:t>ПОСТАНОВЛЕНИЕ </w:t>
      </w:r>
      <w:r>
        <w:rPr>
          <w:rStyle w:val="promulgator"/>
        </w:rPr>
        <w:t>МИНИСТЕРСТВА ПО ЧРЕЗВЫЧАЙНЫМ СИТУАЦИЯМ РЕСПУБЛИКИ БЕЛАРУСЬ</w:t>
      </w:r>
    </w:p>
    <w:p w:rsidR="008B4DB2" w:rsidRDefault="008B4DB2">
      <w:pPr>
        <w:pStyle w:val="newncpi"/>
        <w:ind w:firstLine="0"/>
        <w:jc w:val="center"/>
      </w:pPr>
      <w:r>
        <w:rPr>
          <w:rStyle w:val="datepr"/>
        </w:rPr>
        <w:t>28 января 2016 г.</w:t>
      </w:r>
      <w:r>
        <w:rPr>
          <w:rStyle w:val="number"/>
        </w:rPr>
        <w:t xml:space="preserve"> № 2</w:t>
      </w:r>
    </w:p>
    <w:p w:rsidR="008B4DB2" w:rsidRDefault="008B4DB2">
      <w:pPr>
        <w:pStyle w:val="titlencpi"/>
      </w:pPr>
      <w:r>
        <w:t>О разработке и функционировании систем контроля</w:t>
      </w:r>
    </w:p>
    <w:p w:rsidR="008B4DB2" w:rsidRDefault="008B4DB2">
      <w:pPr>
        <w:pStyle w:val="preamble"/>
      </w:pPr>
      <w:proofErr w:type="gramStart"/>
      <w:r>
        <w:t>На основании абзаца седьмого пункта 138, абзаца шестого пункта 177 Положения о лицензировании отдельных видов деятельности, утвержденного Указом Президента Республики Беларусь от 1 сентября 2010 г. № 450 «О лицензировании отдельных видов деятельности»,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 756 «О некоторых вопросах Министерства по</w:t>
      </w:r>
      <w:proofErr w:type="gramEnd"/>
      <w:r>
        <w:t xml:space="preserve"> чрезвычайным ситуациям», Министерство по чрезвычайным ситуациям Республики Беларусь ПОСТАНОВЛЯЕТ:</w:t>
      </w:r>
    </w:p>
    <w:p w:rsidR="008B4DB2" w:rsidRDefault="008B4DB2">
      <w:pPr>
        <w:pStyle w:val="point"/>
      </w:pPr>
      <w:r>
        <w:t>1. </w:t>
      </w:r>
      <w:proofErr w:type="gramStart"/>
      <w:r>
        <w:t>Утвердить прилагаемые:</w:t>
      </w:r>
      <w:proofErr w:type="gramEnd"/>
    </w:p>
    <w:p w:rsidR="008B4DB2" w:rsidRDefault="008B4DB2">
      <w:pPr>
        <w:pStyle w:val="newncpi"/>
      </w:pPr>
      <w:proofErr w:type="gramStart"/>
      <w:r>
        <w:t>Инструкцию о порядке разработки и функционирования системы контроля за качеством осуществления деятельности по обеспечению пожарной безопасности и обучения (повышения квалификации) работников соискателей лицензий (лицензиатов);</w:t>
      </w:r>
      <w:proofErr w:type="gramEnd"/>
    </w:p>
    <w:p w:rsidR="008B4DB2" w:rsidRDefault="008B4DB2">
      <w:pPr>
        <w:pStyle w:val="newncpi"/>
      </w:pPr>
      <w:r>
        <w:t xml:space="preserve">Инструкцию о порядке разработки и функционирования системы </w:t>
      </w:r>
      <w:proofErr w:type="gramStart"/>
      <w:r>
        <w:t>контроля за</w:t>
      </w:r>
      <w:proofErr w:type="gramEnd"/>
      <w:r>
        <w:t xml:space="preserve"> качеством осуществления деятельности в области промышленной безопасности и подготовки (переподготовки) работников соискателей лицензий (лицензиатов).</w:t>
      </w:r>
    </w:p>
    <w:p w:rsidR="008B4DB2" w:rsidRDefault="008B4DB2">
      <w:pPr>
        <w:pStyle w:val="point"/>
      </w:pPr>
      <w:r>
        <w:t>2. Настоящее постановление вступает в силу с 1 марта 2016 г.</w:t>
      </w:r>
    </w:p>
    <w:p w:rsidR="008B4DB2" w:rsidRDefault="008B4DB2">
      <w:pPr>
        <w:pStyle w:val="newncpi"/>
      </w:pPr>
      <w:r>
        <w:t> </w:t>
      </w:r>
    </w:p>
    <w:tbl>
      <w:tblPr>
        <w:tblW w:w="4995" w:type="pct"/>
        <w:tblCellMar>
          <w:left w:w="0" w:type="dxa"/>
          <w:right w:w="0" w:type="dxa"/>
        </w:tblCellMar>
        <w:tblLook w:val="04A0" w:firstRow="1" w:lastRow="0" w:firstColumn="1" w:lastColumn="0" w:noHBand="0" w:noVBand="1"/>
      </w:tblPr>
      <w:tblGrid>
        <w:gridCol w:w="4693"/>
        <w:gridCol w:w="4696"/>
      </w:tblGrid>
      <w:tr w:rsidR="008B4DB2">
        <w:tc>
          <w:tcPr>
            <w:tcW w:w="2499" w:type="pct"/>
            <w:tcMar>
              <w:top w:w="0" w:type="dxa"/>
              <w:left w:w="6" w:type="dxa"/>
              <w:bottom w:w="0" w:type="dxa"/>
              <w:right w:w="6" w:type="dxa"/>
            </w:tcMar>
            <w:vAlign w:val="bottom"/>
            <w:hideMark/>
          </w:tcPr>
          <w:p w:rsidR="008B4DB2" w:rsidRDefault="008B4DB2">
            <w:pPr>
              <w:pStyle w:val="newncpi0"/>
              <w:jc w:val="left"/>
            </w:pPr>
            <w:r>
              <w:rPr>
                <w:rStyle w:val="post"/>
              </w:rPr>
              <w:t>Министр</w:t>
            </w:r>
          </w:p>
        </w:tc>
        <w:tc>
          <w:tcPr>
            <w:tcW w:w="2501" w:type="pct"/>
            <w:tcMar>
              <w:top w:w="0" w:type="dxa"/>
              <w:left w:w="6" w:type="dxa"/>
              <w:bottom w:w="0" w:type="dxa"/>
              <w:right w:w="6" w:type="dxa"/>
            </w:tcMar>
            <w:vAlign w:val="bottom"/>
            <w:hideMark/>
          </w:tcPr>
          <w:p w:rsidR="008B4DB2" w:rsidRDefault="008B4DB2">
            <w:pPr>
              <w:pStyle w:val="newncpi0"/>
              <w:jc w:val="right"/>
            </w:pPr>
            <w:r>
              <w:rPr>
                <w:rStyle w:val="pers"/>
              </w:rPr>
              <w:t>В.А.Ващенко</w:t>
            </w:r>
          </w:p>
        </w:tc>
      </w:tr>
    </w:tbl>
    <w:p w:rsidR="008B4DB2" w:rsidRDefault="008B4DB2">
      <w:pPr>
        <w:pStyle w:val="newncpi0"/>
      </w:pPr>
      <w:r>
        <w:t> </w:t>
      </w:r>
    </w:p>
    <w:tbl>
      <w:tblPr>
        <w:tblW w:w="5000" w:type="pct"/>
        <w:tblCellMar>
          <w:left w:w="0" w:type="dxa"/>
          <w:right w:w="0" w:type="dxa"/>
        </w:tblCellMar>
        <w:tblLook w:val="04A0" w:firstRow="1" w:lastRow="0" w:firstColumn="1" w:lastColumn="0" w:noHBand="0" w:noVBand="1"/>
      </w:tblPr>
      <w:tblGrid>
        <w:gridCol w:w="6408"/>
        <w:gridCol w:w="2990"/>
      </w:tblGrid>
      <w:tr w:rsidR="008B4DB2">
        <w:tc>
          <w:tcPr>
            <w:tcW w:w="3409" w:type="pct"/>
            <w:tcMar>
              <w:top w:w="0" w:type="dxa"/>
              <w:left w:w="6" w:type="dxa"/>
              <w:bottom w:w="0" w:type="dxa"/>
              <w:right w:w="6" w:type="dxa"/>
            </w:tcMar>
            <w:hideMark/>
          </w:tcPr>
          <w:p w:rsidR="008B4DB2" w:rsidRDefault="008B4DB2">
            <w:pPr>
              <w:pStyle w:val="cap1"/>
            </w:pPr>
            <w:r>
              <w:t> </w:t>
            </w:r>
          </w:p>
        </w:tc>
        <w:tc>
          <w:tcPr>
            <w:tcW w:w="1591" w:type="pct"/>
            <w:tcMar>
              <w:top w:w="0" w:type="dxa"/>
              <w:left w:w="6" w:type="dxa"/>
              <w:bottom w:w="0" w:type="dxa"/>
              <w:right w:w="6" w:type="dxa"/>
            </w:tcMar>
            <w:hideMark/>
          </w:tcPr>
          <w:p w:rsidR="008B4DB2" w:rsidRDefault="008B4DB2">
            <w:pPr>
              <w:pStyle w:val="capu1"/>
            </w:pPr>
            <w:r>
              <w:t>УТВЕРЖДЕНО</w:t>
            </w:r>
          </w:p>
          <w:p w:rsidR="008B4DB2" w:rsidRDefault="008B4DB2">
            <w:pPr>
              <w:pStyle w:val="cap1"/>
            </w:pPr>
            <w:r>
              <w:t>Постановление</w:t>
            </w:r>
            <w:r>
              <w:br/>
              <w:t>Министерства</w:t>
            </w:r>
            <w:r>
              <w:br/>
              <w:t>по чрезвычайным ситуациям</w:t>
            </w:r>
            <w:r>
              <w:br/>
              <w:t>Республики Беларусь</w:t>
            </w:r>
            <w:r>
              <w:br/>
              <w:t>28.01.2016 № 2</w:t>
            </w:r>
          </w:p>
        </w:tc>
      </w:tr>
    </w:tbl>
    <w:p w:rsidR="008B4DB2" w:rsidRDefault="008B4DB2">
      <w:pPr>
        <w:pStyle w:val="titleu"/>
      </w:pPr>
      <w:proofErr w:type="gramStart"/>
      <w:r>
        <w:t>ИНСТРУКЦИЯ</w:t>
      </w:r>
      <w:r>
        <w:br/>
        <w:t>о порядке разработки и функционирования системы контроля за качеством осуществления деятельности по обеспечению пожарной безопасности и обучения (повышения квалификации) работников соискателей лицензий (лицензиатов)</w:t>
      </w:r>
      <w:proofErr w:type="gramEnd"/>
    </w:p>
    <w:p w:rsidR="008B4DB2" w:rsidRDefault="008B4DB2">
      <w:pPr>
        <w:pStyle w:val="point"/>
      </w:pPr>
      <w:r>
        <w:t>1. </w:t>
      </w:r>
      <w:proofErr w:type="gramStart"/>
      <w:r>
        <w:t>Настоящая Инструкция определяет порядок разработки и функционирования системы контроля за качеством осуществления деятельности по обеспечению пожарной безопасности и обучения (повышения квалификации) работников соискателей лицензий (лицензиатов) (далее – система контроля).</w:t>
      </w:r>
      <w:proofErr w:type="gramEnd"/>
    </w:p>
    <w:p w:rsidR="008B4DB2" w:rsidRDefault="008B4DB2">
      <w:pPr>
        <w:pStyle w:val="point"/>
      </w:pPr>
      <w:r>
        <w:t>2. </w:t>
      </w:r>
      <w:proofErr w:type="gramStart"/>
      <w:r>
        <w:t>Для целей настоящей Инструкции под системой контроля понимается комплекс организационных мероприятий, направленных на обеспечение выполнения требований нормативных правовых актов, обязательных для соблюдения требований технических нормативных правовых актов, при осуществлении деятельности по обеспечению пожарной безопасности.</w:t>
      </w:r>
      <w:proofErr w:type="gramEnd"/>
    </w:p>
    <w:p w:rsidR="008B4DB2" w:rsidRDefault="008B4DB2">
      <w:pPr>
        <w:pStyle w:val="point"/>
      </w:pPr>
      <w:r>
        <w:t>3. Система контроля разрабатывается соискателем лицензии (лицензиатом) на основании анализа нормативных правовых актов, обязательных для соблюдения требований технических нормативных правовых актов, регулирующих порядок и условия выполнения работ (оказания услуг), составляющих деятельность по обеспечению пожарной безопасности (далее – нормативные документы).</w:t>
      </w:r>
    </w:p>
    <w:p w:rsidR="008B4DB2" w:rsidRDefault="008B4DB2">
      <w:pPr>
        <w:pStyle w:val="point"/>
      </w:pPr>
      <w:r>
        <w:t>4. Порядок функционирования системы контроля отражается в утвержденном приказом руководителя соискателя лицензии (лицензиата) Положении о системе контроля (далее – Положение).</w:t>
      </w:r>
    </w:p>
    <w:p w:rsidR="008B4DB2" w:rsidRDefault="008B4DB2">
      <w:pPr>
        <w:pStyle w:val="point"/>
      </w:pPr>
      <w:r>
        <w:t>5. В Положении указываются:</w:t>
      </w:r>
    </w:p>
    <w:p w:rsidR="008B4DB2" w:rsidRDefault="008B4DB2">
      <w:pPr>
        <w:pStyle w:val="newncpi"/>
      </w:pPr>
      <w:proofErr w:type="gramStart"/>
      <w:r>
        <w:t>перечень нормативных документов;</w:t>
      </w:r>
      <w:proofErr w:type="gramEnd"/>
    </w:p>
    <w:p w:rsidR="008B4DB2" w:rsidRDefault="008B4DB2">
      <w:pPr>
        <w:pStyle w:val="newncpi"/>
      </w:pPr>
      <w:proofErr w:type="gramStart"/>
      <w:r>
        <w:t>периодичность повышения квалификации работников соискателя лицензии (лицензиата), которые будут выполнять (выполняют) работы и (или) оказывать (оказывают) услуги, составляющие деятельность по обеспечению пожарной безопасности;</w:t>
      </w:r>
      <w:proofErr w:type="gramEnd"/>
    </w:p>
    <w:p w:rsidR="008B4DB2" w:rsidRDefault="008B4DB2">
      <w:pPr>
        <w:pStyle w:val="newncpi"/>
      </w:pPr>
      <w:r>
        <w:t>описание работ (услуг), составляющих деятельность по обеспечению пожарной безопасности, которые соискатель лицензии (лицензиат) планирует осуществлять (осуществляет);</w:t>
      </w:r>
    </w:p>
    <w:p w:rsidR="008B4DB2" w:rsidRDefault="008B4DB2">
      <w:pPr>
        <w:pStyle w:val="newncpi"/>
      </w:pPr>
      <w:r>
        <w:t>порядок выполнения работ (оказания услуг), установленный нормативными документами;</w:t>
      </w:r>
    </w:p>
    <w:p w:rsidR="008B4DB2" w:rsidRDefault="008B4DB2">
      <w:pPr>
        <w:pStyle w:val="newncpi"/>
      </w:pPr>
      <w:r>
        <w:t>порядок контроля качества выполненных работ и (или) оказанных услуг;</w:t>
      </w:r>
    </w:p>
    <w:p w:rsidR="008B4DB2" w:rsidRDefault="008B4DB2">
      <w:pPr>
        <w:pStyle w:val="newncpi"/>
      </w:pPr>
      <w:r>
        <w:t>порядок оформления документов (журналов, актов, протоколов и иных) по результатам выполнения работ и (или) оказания услуг;</w:t>
      </w:r>
    </w:p>
    <w:p w:rsidR="008B4DB2" w:rsidRDefault="008B4DB2">
      <w:pPr>
        <w:pStyle w:val="newncpi"/>
      </w:pPr>
      <w:r>
        <w:t>ответственность работников соискателя лицензии (лицензиата) за соответствие нормативным документам выполненных работ и (или) оказанных услуг, составляющих деятельность по обеспечению пожарной безопасности.</w:t>
      </w:r>
    </w:p>
    <w:p w:rsidR="008B4DB2" w:rsidRDefault="008B4DB2">
      <w:pPr>
        <w:pStyle w:val="point"/>
      </w:pPr>
      <w:r>
        <w:t>6. Функционирование системы контроля должно обеспечивать выполнение лицензиатом требований нормативных документов.</w:t>
      </w:r>
    </w:p>
    <w:p w:rsidR="008B4DB2" w:rsidRDefault="008B4DB2">
      <w:pPr>
        <w:pStyle w:val="point"/>
      </w:pPr>
      <w:r>
        <w:t>7. Ответственность за функционирование системы контроля и ее актуализацию несет руководитель лицензиата.</w:t>
      </w:r>
    </w:p>
    <w:p w:rsidR="008B4DB2" w:rsidRDefault="008B4DB2">
      <w:pPr>
        <w:pStyle w:val="newncpi"/>
      </w:pPr>
      <w:r>
        <w:t> </w:t>
      </w:r>
    </w:p>
    <w:tbl>
      <w:tblPr>
        <w:tblW w:w="5000" w:type="pct"/>
        <w:tblCellMar>
          <w:left w:w="0" w:type="dxa"/>
          <w:right w:w="0" w:type="dxa"/>
        </w:tblCellMar>
        <w:tblLook w:val="04A0" w:firstRow="1" w:lastRow="0" w:firstColumn="1" w:lastColumn="0" w:noHBand="0" w:noVBand="1"/>
      </w:tblPr>
      <w:tblGrid>
        <w:gridCol w:w="6408"/>
        <w:gridCol w:w="2990"/>
      </w:tblGrid>
      <w:tr w:rsidR="008B4DB2">
        <w:tc>
          <w:tcPr>
            <w:tcW w:w="3409" w:type="pct"/>
            <w:tcMar>
              <w:top w:w="0" w:type="dxa"/>
              <w:left w:w="6" w:type="dxa"/>
              <w:bottom w:w="0" w:type="dxa"/>
              <w:right w:w="6" w:type="dxa"/>
            </w:tcMar>
            <w:hideMark/>
          </w:tcPr>
          <w:p w:rsidR="008B4DB2" w:rsidRDefault="008B4DB2">
            <w:pPr>
              <w:pStyle w:val="cap1"/>
            </w:pPr>
            <w:r>
              <w:t> </w:t>
            </w:r>
          </w:p>
        </w:tc>
        <w:tc>
          <w:tcPr>
            <w:tcW w:w="1591" w:type="pct"/>
            <w:tcMar>
              <w:top w:w="0" w:type="dxa"/>
              <w:left w:w="6" w:type="dxa"/>
              <w:bottom w:w="0" w:type="dxa"/>
              <w:right w:w="6" w:type="dxa"/>
            </w:tcMar>
            <w:hideMark/>
          </w:tcPr>
          <w:p w:rsidR="008B4DB2" w:rsidRDefault="008B4DB2">
            <w:pPr>
              <w:pStyle w:val="capu1"/>
            </w:pPr>
            <w:r>
              <w:t>УТВЕРЖДЕНО</w:t>
            </w:r>
          </w:p>
          <w:p w:rsidR="008B4DB2" w:rsidRDefault="008B4DB2">
            <w:pPr>
              <w:pStyle w:val="cap1"/>
            </w:pPr>
            <w:r>
              <w:t>Постановление</w:t>
            </w:r>
            <w:r>
              <w:br/>
              <w:t>Министерства</w:t>
            </w:r>
            <w:r>
              <w:br/>
              <w:t>по чрезвычайным ситуациям</w:t>
            </w:r>
            <w:r>
              <w:br/>
              <w:t>Республики Беларусь</w:t>
            </w:r>
            <w:r>
              <w:br/>
              <w:t>28.01.2016 № 2</w:t>
            </w:r>
          </w:p>
        </w:tc>
      </w:tr>
    </w:tbl>
    <w:p w:rsidR="008B4DB2" w:rsidRDefault="008B4DB2">
      <w:pPr>
        <w:pStyle w:val="titleu"/>
      </w:pPr>
      <w:r>
        <w:t>ИНСТРУКЦИЯ</w:t>
      </w:r>
      <w:r>
        <w:br/>
        <w:t xml:space="preserve">о порядке разработки и функционирования системы </w:t>
      </w:r>
      <w:proofErr w:type="gramStart"/>
      <w:r>
        <w:t>контроля за</w:t>
      </w:r>
      <w:proofErr w:type="gramEnd"/>
      <w:r>
        <w:t xml:space="preserve"> качеством осуществления деятельности в области промышленной безопасности и подготовки (переподготовки) работников соискателей лицензий (лицензиатов)</w:t>
      </w:r>
    </w:p>
    <w:p w:rsidR="008B4DB2" w:rsidRDefault="008B4DB2">
      <w:pPr>
        <w:pStyle w:val="point"/>
      </w:pPr>
      <w:r>
        <w:t xml:space="preserve">1. Настоящая Инструкция определяет порядок разработки и функционирования системы </w:t>
      </w:r>
      <w:proofErr w:type="gramStart"/>
      <w:r>
        <w:t>контроля за</w:t>
      </w:r>
      <w:proofErr w:type="gramEnd"/>
      <w:r>
        <w:t xml:space="preserve"> качеством осуществления деятельности в области промышленной безопасности и подготовки (переподготовки) работников соискателей лицензий (лицензиатов) (далее – система контроля).</w:t>
      </w:r>
    </w:p>
    <w:p w:rsidR="008B4DB2" w:rsidRDefault="008B4DB2">
      <w:pPr>
        <w:pStyle w:val="point"/>
      </w:pPr>
      <w:r>
        <w:t>2. </w:t>
      </w:r>
      <w:proofErr w:type="gramStart"/>
      <w:r>
        <w:t>Для целей настоящей Инструкции под системой контроля понимается комплекс организационных мероприятий, направленных на обеспечение выполнения требований нормативных правовых актов, обязательных для соблюдения требований технических нормативных правовых актов, при осуществлении деятельности в области промышленной безопасности.</w:t>
      </w:r>
      <w:proofErr w:type="gramEnd"/>
    </w:p>
    <w:p w:rsidR="008B4DB2" w:rsidRDefault="008B4DB2">
      <w:pPr>
        <w:pStyle w:val="point"/>
      </w:pPr>
      <w:r>
        <w:t>3. </w:t>
      </w:r>
      <w:proofErr w:type="gramStart"/>
      <w:r>
        <w:t>Система контроля разрабатывается соискателем лицензии (лицензиатом) на основании анализа нормативных правовых актов, обязательных для соблюдения технических нормативных правовых актов, содержащих требования к организации надлежащего выполнения работ и (или) оказания услуг (регулирующих порядок и условия их выполнения), составляющих деятельность в области промышленной безопасности, а также к подготовке (переподготовке) работников, в том числе находящихся в гражданско-правовых отношениях с соискателем лицензии (лицензиатом) по</w:t>
      </w:r>
      <w:proofErr w:type="gramEnd"/>
      <w:r>
        <w:t xml:space="preserve"> указанному виду деятельности (далее – нормативные документы).</w:t>
      </w:r>
    </w:p>
    <w:p w:rsidR="008B4DB2" w:rsidRDefault="008B4DB2">
      <w:pPr>
        <w:pStyle w:val="point"/>
      </w:pPr>
      <w:r>
        <w:t>4. Основным документом системы контроля является Положение о системе контроля (далее – Положение). Положение определяет порядок функционирования системы контроля и утверждается приказом руководителя соискателя лицензии (лицензиата).</w:t>
      </w:r>
    </w:p>
    <w:p w:rsidR="008B4DB2" w:rsidRDefault="008B4DB2">
      <w:pPr>
        <w:pStyle w:val="point"/>
      </w:pPr>
      <w:r>
        <w:t>5. В Положении указываются:</w:t>
      </w:r>
    </w:p>
    <w:p w:rsidR="008B4DB2" w:rsidRDefault="008B4DB2">
      <w:pPr>
        <w:pStyle w:val="newncpi"/>
      </w:pPr>
      <w:r>
        <w:t>работы и (или) услуги, составляющие деятельность в области промышленной безопасности, которые соискатель лицензии (лицензиат) планирует осуществлять (осуществляет);</w:t>
      </w:r>
    </w:p>
    <w:p w:rsidR="008B4DB2" w:rsidRDefault="008B4DB2">
      <w:pPr>
        <w:pStyle w:val="newncpi"/>
      </w:pPr>
      <w:proofErr w:type="gramStart"/>
      <w:r>
        <w:t>перечень нормативных документов;</w:t>
      </w:r>
      <w:proofErr w:type="gramEnd"/>
    </w:p>
    <w:p w:rsidR="008B4DB2" w:rsidRDefault="008B4DB2">
      <w:pPr>
        <w:pStyle w:val="newncpi"/>
      </w:pPr>
      <w:proofErr w:type="gramStart"/>
      <w:r>
        <w:t>квалификационные требования (уровень подготовки, образование, периодичность повышения квалификации и иные) к работникам, в том числе находящимся в гражданско-правовых отношениях с соискателем лицензии (лицензиатом), которые будут выполнять (выполняют) работы и (или) оказывать (оказывают) услуги, составляющие деятельность в области промышленной безопасности;</w:t>
      </w:r>
      <w:proofErr w:type="gramEnd"/>
    </w:p>
    <w:p w:rsidR="008B4DB2" w:rsidRDefault="008B4DB2">
      <w:pPr>
        <w:pStyle w:val="newncpi"/>
      </w:pPr>
      <w:r>
        <w:t>порядок выполнения работ и (или) оказания услуг, установленный нормативными документами;</w:t>
      </w:r>
    </w:p>
    <w:p w:rsidR="008B4DB2" w:rsidRDefault="008B4DB2">
      <w:pPr>
        <w:pStyle w:val="newncpi"/>
      </w:pPr>
      <w:r>
        <w:t>порядок контроля качества выполненных работ и (или) оказанных услуг, перечень лиц (структурных подразделений) в соответствии с организационно-штатной структурой, обеспечивающих надлежащее выполнение работ и (или) оказание услуг, а также проведение контроля;</w:t>
      </w:r>
    </w:p>
    <w:p w:rsidR="008B4DB2" w:rsidRDefault="008B4DB2">
      <w:pPr>
        <w:pStyle w:val="newncpi"/>
      </w:pPr>
      <w:r>
        <w:t>порядок оформления исполнительской документации по результатам выполнения работ и (или) оказания услуг (журналов, актов, протоколов и иных);</w:t>
      </w:r>
    </w:p>
    <w:p w:rsidR="008B4DB2" w:rsidRDefault="008B4DB2">
      <w:pPr>
        <w:pStyle w:val="newncpi"/>
      </w:pPr>
      <w:r>
        <w:t>ответственность работников, в том числе находящихся в гражданско-правовых отношениях с соискателем лицензии (лицензиатом), за выполнение работ и (или) оказание услуг, составляющих деятельность в области промышленной безопасности, с нарушением (отступлением от) требований нормативных документов.</w:t>
      </w:r>
    </w:p>
    <w:p w:rsidR="008B4DB2" w:rsidRDefault="008B4DB2">
      <w:pPr>
        <w:pStyle w:val="point"/>
      </w:pPr>
      <w:r>
        <w:t>6. Функционирование системы контроля должно обеспечивать выполнение лицензиатом требований нормативных документов.</w:t>
      </w:r>
    </w:p>
    <w:p w:rsidR="008B4DB2" w:rsidRDefault="008B4DB2">
      <w:pPr>
        <w:pStyle w:val="point"/>
      </w:pPr>
      <w:r>
        <w:t>7. Ответственность за организацию, функционирование, финансовое и техническое обеспечение системы контроля и ее актуализацию несет руководитель лицензиата.</w:t>
      </w:r>
    </w:p>
    <w:p w:rsidR="008B4DB2" w:rsidRDefault="008B4DB2">
      <w:pPr>
        <w:pStyle w:val="newncpi"/>
      </w:pPr>
      <w:r>
        <w:t> </w:t>
      </w:r>
    </w:p>
    <w:p w:rsidR="00BF137B" w:rsidRDefault="00BF137B"/>
    <w:sectPr w:rsidR="00BF137B" w:rsidSect="008B4DB2">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B2" w:rsidRDefault="008B4DB2" w:rsidP="008B4DB2">
      <w:pPr>
        <w:spacing w:after="0" w:line="240" w:lineRule="auto"/>
      </w:pPr>
      <w:r>
        <w:separator/>
      </w:r>
    </w:p>
  </w:endnote>
  <w:endnote w:type="continuationSeparator" w:id="0">
    <w:p w:rsidR="008B4DB2" w:rsidRDefault="008B4DB2" w:rsidP="008B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2" w:rsidRDefault="008B4D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2" w:rsidRDefault="008B4D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Look w:val="04A0" w:firstRow="1" w:lastRow="0" w:firstColumn="1" w:lastColumn="0" w:noHBand="0" w:noVBand="1"/>
    </w:tblPr>
    <w:tblGrid>
      <w:gridCol w:w="900"/>
      <w:gridCol w:w="7202"/>
      <w:gridCol w:w="1500"/>
    </w:tblGrid>
    <w:tr w:rsidR="008B4DB2" w:rsidTr="008B4DB2">
      <w:trPr>
        <w:trHeight w:val="400"/>
      </w:trPr>
      <w:tc>
        <w:tcPr>
          <w:tcW w:w="900" w:type="dxa"/>
          <w:vMerge w:val="restart"/>
          <w:shd w:val="clear" w:color="auto" w:fill="auto"/>
        </w:tcPr>
        <w:p w:rsidR="008B4DB2" w:rsidRDefault="008B4DB2">
          <w:pPr>
            <w:pStyle w:val="a5"/>
          </w:pPr>
          <w:r>
            <w:rPr>
              <w:noProof/>
              <w:lang w:eastAsia="ru-RU"/>
            </w:rPr>
            <w:drawing>
              <wp:inline distT="0" distB="0" distL="0" distR="0" wp14:anchorId="645B6256" wp14:editId="20D861E0">
                <wp:extent cx="266700" cy="3505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700" cy="350520"/>
                        </a:xfrm>
                        <a:prstGeom prst="rect">
                          <a:avLst/>
                        </a:prstGeom>
                      </pic:spPr>
                    </pic:pic>
                  </a:graphicData>
                </a:graphic>
              </wp:inline>
            </w:drawing>
          </w:r>
        </w:p>
      </w:tc>
      <w:tc>
        <w:tcPr>
          <w:tcW w:w="7202" w:type="dxa"/>
          <w:shd w:val="clear" w:color="auto" w:fill="auto"/>
        </w:tcPr>
        <w:p w:rsidR="008B4DB2" w:rsidRPr="008B4DB2" w:rsidRDefault="008B4DB2">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shd w:val="clear" w:color="auto" w:fill="auto"/>
        </w:tcPr>
        <w:p w:rsidR="008B4DB2" w:rsidRPr="008B4DB2" w:rsidRDefault="008B4DB2" w:rsidP="008B4DB2">
          <w:pPr>
            <w:pStyle w:val="a5"/>
            <w:jc w:val="right"/>
            <w:rPr>
              <w:rFonts w:ascii="Times New Roman" w:hAnsi="Times New Roman" w:cs="Times New Roman"/>
              <w:sz w:val="24"/>
            </w:rPr>
          </w:pPr>
          <w:r>
            <w:rPr>
              <w:rFonts w:ascii="Times New Roman" w:hAnsi="Times New Roman" w:cs="Times New Roman"/>
              <w:sz w:val="24"/>
            </w:rPr>
            <w:t>11.04.2016</w:t>
          </w:r>
        </w:p>
      </w:tc>
    </w:tr>
    <w:tr w:rsidR="008B4DB2" w:rsidTr="008B4DB2">
      <w:tc>
        <w:tcPr>
          <w:tcW w:w="900" w:type="dxa"/>
          <w:vMerge/>
        </w:tcPr>
        <w:p w:rsidR="008B4DB2" w:rsidRDefault="008B4DB2">
          <w:pPr>
            <w:pStyle w:val="a5"/>
          </w:pPr>
        </w:p>
      </w:tc>
      <w:tc>
        <w:tcPr>
          <w:tcW w:w="7202" w:type="dxa"/>
        </w:tcPr>
        <w:p w:rsidR="008B4DB2" w:rsidRPr="008B4DB2" w:rsidRDefault="008B4DB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8B4DB2" w:rsidRDefault="008B4DB2">
          <w:pPr>
            <w:pStyle w:val="a5"/>
          </w:pPr>
        </w:p>
      </w:tc>
    </w:tr>
  </w:tbl>
  <w:p w:rsidR="008B4DB2" w:rsidRDefault="008B4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B2" w:rsidRDefault="008B4DB2" w:rsidP="008B4DB2">
      <w:pPr>
        <w:spacing w:after="0" w:line="240" w:lineRule="auto"/>
      </w:pPr>
      <w:r>
        <w:separator/>
      </w:r>
    </w:p>
  </w:footnote>
  <w:footnote w:type="continuationSeparator" w:id="0">
    <w:p w:rsidR="008B4DB2" w:rsidRDefault="008B4DB2" w:rsidP="008B4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2" w:rsidRDefault="008B4DB2" w:rsidP="00C9461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4DB2" w:rsidRDefault="008B4D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2" w:rsidRPr="008B4DB2" w:rsidRDefault="008B4DB2" w:rsidP="00C94616">
    <w:pPr>
      <w:pStyle w:val="a3"/>
      <w:framePr w:wrap="around" w:vAnchor="text" w:hAnchor="margin" w:xAlign="center" w:y="1"/>
      <w:rPr>
        <w:rStyle w:val="a7"/>
        <w:rFonts w:ascii="Times New Roman" w:hAnsi="Times New Roman" w:cs="Times New Roman"/>
        <w:sz w:val="24"/>
      </w:rPr>
    </w:pPr>
    <w:r w:rsidRPr="008B4DB2">
      <w:rPr>
        <w:rStyle w:val="a7"/>
        <w:rFonts w:ascii="Times New Roman" w:hAnsi="Times New Roman" w:cs="Times New Roman"/>
        <w:sz w:val="24"/>
      </w:rPr>
      <w:fldChar w:fldCharType="begin"/>
    </w:r>
    <w:r w:rsidRPr="008B4DB2">
      <w:rPr>
        <w:rStyle w:val="a7"/>
        <w:rFonts w:ascii="Times New Roman" w:hAnsi="Times New Roman" w:cs="Times New Roman"/>
        <w:sz w:val="24"/>
      </w:rPr>
      <w:instrText xml:space="preserve">PAGE  </w:instrText>
    </w:r>
    <w:r w:rsidRPr="008B4DB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8B4DB2">
      <w:rPr>
        <w:rStyle w:val="a7"/>
        <w:rFonts w:ascii="Times New Roman" w:hAnsi="Times New Roman" w:cs="Times New Roman"/>
        <w:sz w:val="24"/>
      </w:rPr>
      <w:fldChar w:fldCharType="end"/>
    </w:r>
  </w:p>
  <w:p w:rsidR="008B4DB2" w:rsidRPr="008B4DB2" w:rsidRDefault="008B4DB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2" w:rsidRDefault="008B4D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B2"/>
    <w:rsid w:val="008B4DB2"/>
    <w:rsid w:val="00BF137B"/>
    <w:rsid w:val="00C25668"/>
    <w:rsid w:val="00E4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B4DB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8B4DB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B4D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B4D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8B4DB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B4DB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B4D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4DB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B4DB2"/>
    <w:rPr>
      <w:rFonts w:ascii="Times New Roman" w:hAnsi="Times New Roman" w:cs="Times New Roman" w:hint="default"/>
      <w:caps/>
    </w:rPr>
  </w:style>
  <w:style w:type="character" w:customStyle="1" w:styleId="promulgator">
    <w:name w:val="promulgator"/>
    <w:basedOn w:val="a0"/>
    <w:rsid w:val="008B4DB2"/>
    <w:rPr>
      <w:rFonts w:ascii="Times New Roman" w:hAnsi="Times New Roman" w:cs="Times New Roman" w:hint="default"/>
      <w:caps/>
    </w:rPr>
  </w:style>
  <w:style w:type="character" w:customStyle="1" w:styleId="datepr">
    <w:name w:val="datepr"/>
    <w:basedOn w:val="a0"/>
    <w:rsid w:val="008B4DB2"/>
    <w:rPr>
      <w:rFonts w:ascii="Times New Roman" w:hAnsi="Times New Roman" w:cs="Times New Roman" w:hint="default"/>
    </w:rPr>
  </w:style>
  <w:style w:type="character" w:customStyle="1" w:styleId="number">
    <w:name w:val="number"/>
    <w:basedOn w:val="a0"/>
    <w:rsid w:val="008B4DB2"/>
    <w:rPr>
      <w:rFonts w:ascii="Times New Roman" w:hAnsi="Times New Roman" w:cs="Times New Roman" w:hint="default"/>
    </w:rPr>
  </w:style>
  <w:style w:type="character" w:customStyle="1" w:styleId="post">
    <w:name w:val="post"/>
    <w:basedOn w:val="a0"/>
    <w:rsid w:val="008B4DB2"/>
    <w:rPr>
      <w:rFonts w:ascii="Times New Roman" w:hAnsi="Times New Roman" w:cs="Times New Roman" w:hint="default"/>
      <w:b/>
      <w:bCs/>
      <w:sz w:val="22"/>
      <w:szCs w:val="22"/>
    </w:rPr>
  </w:style>
  <w:style w:type="character" w:customStyle="1" w:styleId="pers">
    <w:name w:val="pers"/>
    <w:basedOn w:val="a0"/>
    <w:rsid w:val="008B4DB2"/>
    <w:rPr>
      <w:rFonts w:ascii="Times New Roman" w:hAnsi="Times New Roman" w:cs="Times New Roman" w:hint="default"/>
      <w:b/>
      <w:bCs/>
      <w:sz w:val="22"/>
      <w:szCs w:val="22"/>
    </w:rPr>
  </w:style>
  <w:style w:type="paragraph" w:styleId="a3">
    <w:name w:val="header"/>
    <w:basedOn w:val="a"/>
    <w:link w:val="a4"/>
    <w:uiPriority w:val="99"/>
    <w:unhideWhenUsed/>
    <w:rsid w:val="008B4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DB2"/>
  </w:style>
  <w:style w:type="paragraph" w:styleId="a5">
    <w:name w:val="footer"/>
    <w:basedOn w:val="a"/>
    <w:link w:val="a6"/>
    <w:uiPriority w:val="99"/>
    <w:unhideWhenUsed/>
    <w:rsid w:val="008B4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DB2"/>
  </w:style>
  <w:style w:type="character" w:styleId="a7">
    <w:name w:val="page number"/>
    <w:basedOn w:val="a0"/>
    <w:uiPriority w:val="99"/>
    <w:semiHidden/>
    <w:unhideWhenUsed/>
    <w:rsid w:val="008B4DB2"/>
  </w:style>
  <w:style w:type="table" w:styleId="a8">
    <w:name w:val="Table Grid"/>
    <w:basedOn w:val="a1"/>
    <w:uiPriority w:val="59"/>
    <w:rsid w:val="008B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B4DB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8B4DB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B4D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B4D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8B4DB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B4DB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B4DB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4DB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B4DB2"/>
    <w:rPr>
      <w:rFonts w:ascii="Times New Roman" w:hAnsi="Times New Roman" w:cs="Times New Roman" w:hint="default"/>
      <w:caps/>
    </w:rPr>
  </w:style>
  <w:style w:type="character" w:customStyle="1" w:styleId="promulgator">
    <w:name w:val="promulgator"/>
    <w:basedOn w:val="a0"/>
    <w:rsid w:val="008B4DB2"/>
    <w:rPr>
      <w:rFonts w:ascii="Times New Roman" w:hAnsi="Times New Roman" w:cs="Times New Roman" w:hint="default"/>
      <w:caps/>
    </w:rPr>
  </w:style>
  <w:style w:type="character" w:customStyle="1" w:styleId="datepr">
    <w:name w:val="datepr"/>
    <w:basedOn w:val="a0"/>
    <w:rsid w:val="008B4DB2"/>
    <w:rPr>
      <w:rFonts w:ascii="Times New Roman" w:hAnsi="Times New Roman" w:cs="Times New Roman" w:hint="default"/>
    </w:rPr>
  </w:style>
  <w:style w:type="character" w:customStyle="1" w:styleId="number">
    <w:name w:val="number"/>
    <w:basedOn w:val="a0"/>
    <w:rsid w:val="008B4DB2"/>
    <w:rPr>
      <w:rFonts w:ascii="Times New Roman" w:hAnsi="Times New Roman" w:cs="Times New Roman" w:hint="default"/>
    </w:rPr>
  </w:style>
  <w:style w:type="character" w:customStyle="1" w:styleId="post">
    <w:name w:val="post"/>
    <w:basedOn w:val="a0"/>
    <w:rsid w:val="008B4DB2"/>
    <w:rPr>
      <w:rFonts w:ascii="Times New Roman" w:hAnsi="Times New Roman" w:cs="Times New Roman" w:hint="default"/>
      <w:b/>
      <w:bCs/>
      <w:sz w:val="22"/>
      <w:szCs w:val="22"/>
    </w:rPr>
  </w:style>
  <w:style w:type="character" w:customStyle="1" w:styleId="pers">
    <w:name w:val="pers"/>
    <w:basedOn w:val="a0"/>
    <w:rsid w:val="008B4DB2"/>
    <w:rPr>
      <w:rFonts w:ascii="Times New Roman" w:hAnsi="Times New Roman" w:cs="Times New Roman" w:hint="default"/>
      <w:b/>
      <w:bCs/>
      <w:sz w:val="22"/>
      <w:szCs w:val="22"/>
    </w:rPr>
  </w:style>
  <w:style w:type="paragraph" w:styleId="a3">
    <w:name w:val="header"/>
    <w:basedOn w:val="a"/>
    <w:link w:val="a4"/>
    <w:uiPriority w:val="99"/>
    <w:unhideWhenUsed/>
    <w:rsid w:val="008B4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DB2"/>
  </w:style>
  <w:style w:type="paragraph" w:styleId="a5">
    <w:name w:val="footer"/>
    <w:basedOn w:val="a"/>
    <w:link w:val="a6"/>
    <w:uiPriority w:val="99"/>
    <w:unhideWhenUsed/>
    <w:rsid w:val="008B4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DB2"/>
  </w:style>
  <w:style w:type="character" w:styleId="a7">
    <w:name w:val="page number"/>
    <w:basedOn w:val="a0"/>
    <w:uiPriority w:val="99"/>
    <w:semiHidden/>
    <w:unhideWhenUsed/>
    <w:rsid w:val="008B4DB2"/>
  </w:style>
  <w:style w:type="table" w:styleId="a8">
    <w:name w:val="Table Grid"/>
    <w:basedOn w:val="a1"/>
    <w:uiPriority w:val="59"/>
    <w:rsid w:val="008B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6493</Characters>
  <Application>Microsoft Office Word</Application>
  <DocSecurity>0</DocSecurity>
  <Lines>132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Ю. Шишканова</dc:creator>
  <cp:lastModifiedBy>Александра Ю. Шишканова</cp:lastModifiedBy>
  <cp:revision>1</cp:revision>
  <dcterms:created xsi:type="dcterms:W3CDTF">2016-04-11T08:06:00Z</dcterms:created>
  <dcterms:modified xsi:type="dcterms:W3CDTF">2016-04-11T08:07:00Z</dcterms:modified>
</cp:coreProperties>
</file>